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985"/>
        </w:tabs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野田市法定外公共物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占用・土木工事等・生産物採取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着工届</w:t>
      </w:r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担当者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　　　　　　第　　　　号で許可を受けた法定外公共物の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占用・土木工事等・生産物採取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に着手するので、野田市法定外公共物管理条例第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項の規定により、下記のとおり届け出ます。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210"/>
        <w:gridCol w:w="630"/>
        <w:gridCol w:w="210"/>
        <w:gridCol w:w="2100"/>
      </w:tblGrid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　　・　　土木工事等　　・　　生産物採取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施行場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番地先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対象物件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道路・水路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工事着工年月日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工事完成予定日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工事現場責任者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連絡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先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221</Characters>
  <Application>JUST Note</Application>
  <Lines>35</Lines>
  <Paragraphs>31</Paragraphs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第10号様式(第8条)</dc:title>
  <dc:creator>(株)ぎょうせい</dc:creator>
  <cp:lastModifiedBy>田中　正之</cp:lastModifiedBy>
  <cp:lastPrinted>2002-06-09T18:09:00Z</cp:lastPrinted>
  <dcterms:created xsi:type="dcterms:W3CDTF">2013-03-22T17:27:00Z</dcterms:created>
  <dcterms:modified xsi:type="dcterms:W3CDTF">2023-04-18T09:51:52Z</dcterms:modified>
  <cp:revision>8</cp:revision>
</cp:coreProperties>
</file>